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26CF0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726CF0">
        <w:rPr>
          <w:rFonts w:cstheme="minorHAnsi"/>
        </w:rPr>
        <w:t>60</w:t>
      </w:r>
      <w:r w:rsidR="00C17FB1">
        <w:rPr>
          <w:rFonts w:cstheme="minorHAnsi"/>
        </w:rPr>
        <w:t xml:space="preserve"> –</w:t>
      </w:r>
      <w:r w:rsidR="00726CF0">
        <w:rPr>
          <w:rFonts w:cstheme="minorHAnsi"/>
        </w:rPr>
        <w:t xml:space="preserve"> nuove </w:t>
      </w:r>
      <w:r w:rsidR="00726CF0">
        <w:rPr>
          <w:rFonts w:cstheme="minorHAnsi"/>
        </w:rPr>
        <w:t>misure organizzative e riduzione oraria di lezione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726CF0">
        <w:rPr>
          <w:rFonts w:cstheme="minorHAnsi"/>
        </w:rPr>
        <w:t xml:space="preserve"> n. 11 del 12 </w:t>
      </w:r>
      <w:r w:rsidR="009E58CF">
        <w:rPr>
          <w:rFonts w:cstheme="minorHAnsi"/>
        </w:rPr>
        <w:t>novembre 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9E58CF" w:rsidP="004F2553">
      <w:pPr>
        <w:jc w:val="both"/>
        <w:rPr>
          <w:rFonts w:cstheme="minorHAnsi"/>
        </w:rPr>
      </w:pPr>
      <w:r>
        <w:rPr>
          <w:rFonts w:cstheme="minorHAnsi"/>
        </w:rPr>
        <w:t>Visto il DPR 275/99</w:t>
      </w:r>
      <w:r w:rsidR="004F2553">
        <w:rPr>
          <w:rFonts w:cstheme="minorHAnsi"/>
        </w:rPr>
        <w:t>;</w:t>
      </w:r>
    </w:p>
    <w:p w:rsidR="00332D82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8B509C" w:rsidRDefault="008B509C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726CF0" w:rsidRDefault="00726CF0" w:rsidP="00726CF0">
      <w:pPr>
        <w:jc w:val="both"/>
        <w:rPr>
          <w:rFonts w:cstheme="minorHAnsi"/>
        </w:rPr>
      </w:pPr>
      <w:r>
        <w:rPr>
          <w:rFonts w:cstheme="minorHAnsi"/>
        </w:rPr>
        <w:t xml:space="preserve">Considerati il DPCM del 24/10/2020 </w:t>
      </w:r>
      <w:r>
        <w:rPr>
          <w:rFonts w:cstheme="minorHAnsi"/>
        </w:rPr>
        <w:t>e successive modificazioni ed integrazioni ed in particolare le note operative MI del 5/11/2020</w:t>
      </w:r>
      <w:r>
        <w:rPr>
          <w:rFonts w:cstheme="minorHAnsi"/>
        </w:rPr>
        <w:t xml:space="preserve">; </w:t>
      </w:r>
    </w:p>
    <w:p w:rsidR="00726CF0" w:rsidRDefault="00726CF0" w:rsidP="00726CF0">
      <w:pPr>
        <w:jc w:val="both"/>
        <w:rPr>
          <w:rFonts w:cstheme="minorHAnsi"/>
        </w:rPr>
      </w:pPr>
      <w:r>
        <w:rPr>
          <w:rFonts w:cstheme="minorHAnsi"/>
        </w:rPr>
        <w:t>Considerato che l</w:t>
      </w:r>
      <w:r w:rsidR="00B05BAF">
        <w:rPr>
          <w:rFonts w:cstheme="minorHAnsi"/>
        </w:rPr>
        <w:t>e unità di insegnamento erano già state modificate</w:t>
      </w:r>
      <w:r w:rsidR="00BC2BB3">
        <w:rPr>
          <w:rFonts w:cstheme="minorHAnsi"/>
        </w:rPr>
        <w:t xml:space="preserve"> in 45 minuti con recupero di 5 minuti per ogni unità</w:t>
      </w:r>
      <w:r w:rsidR="00B05BAF">
        <w:rPr>
          <w:rFonts w:cstheme="minorHAnsi"/>
        </w:rPr>
        <w:t xml:space="preserve"> </w:t>
      </w:r>
      <w:r w:rsidR="00BC2BB3">
        <w:rPr>
          <w:rFonts w:cstheme="minorHAnsi"/>
        </w:rPr>
        <w:t>(</w:t>
      </w:r>
      <w:r w:rsidR="00B05BAF">
        <w:rPr>
          <w:rFonts w:cstheme="minorHAnsi"/>
        </w:rPr>
        <w:t>delibera n. 56</w:t>
      </w:r>
      <w:r w:rsidR="00BC2BB3">
        <w:rPr>
          <w:rFonts w:cstheme="minorHAnsi"/>
        </w:rPr>
        <w:t xml:space="preserve"> - verbale 10 del 6 novembre 2020)</w:t>
      </w:r>
      <w:r w:rsidR="00B05BAF">
        <w:rPr>
          <w:rFonts w:cstheme="minorHAnsi"/>
        </w:rPr>
        <w:t xml:space="preserve">; </w:t>
      </w:r>
    </w:p>
    <w:p w:rsidR="00726CF0" w:rsidRDefault="00726CF0" w:rsidP="00726CF0">
      <w:pPr>
        <w:jc w:val="both"/>
        <w:rPr>
          <w:rFonts w:cstheme="minorHAnsi"/>
        </w:rPr>
      </w:pPr>
      <w:r>
        <w:rPr>
          <w:rFonts w:cstheme="minorHAnsi"/>
        </w:rPr>
        <w:t xml:space="preserve">Considerato che </w:t>
      </w:r>
      <w:r w:rsidR="0097069D">
        <w:rPr>
          <w:rFonts w:cstheme="minorHAnsi"/>
        </w:rPr>
        <w:t>le unità di insegnamento devono</w:t>
      </w:r>
      <w:r>
        <w:rPr>
          <w:rFonts w:cstheme="minorHAnsi"/>
        </w:rPr>
        <w:t xml:space="preserve"> essere </w:t>
      </w:r>
      <w:r w:rsidR="0097069D">
        <w:rPr>
          <w:rFonts w:cstheme="minorHAnsi"/>
        </w:rPr>
        <w:t>rimodulate</w:t>
      </w:r>
      <w:r>
        <w:rPr>
          <w:rFonts w:cstheme="minorHAnsi"/>
        </w:rPr>
        <w:t xml:space="preserve"> </w:t>
      </w:r>
      <w:r w:rsidR="00BC2BB3">
        <w:rPr>
          <w:rFonts w:cstheme="minorHAnsi"/>
        </w:rPr>
        <w:t>a seguito</w:t>
      </w:r>
      <w:r w:rsidR="0097069D">
        <w:rPr>
          <w:rFonts w:cstheme="minorHAnsi"/>
        </w:rPr>
        <w:t xml:space="preserve"> di </w:t>
      </w:r>
      <w:r>
        <w:rPr>
          <w:rFonts w:cstheme="minorHAnsi"/>
        </w:rPr>
        <w:t>normativa</w:t>
      </w:r>
      <w:r w:rsidR="00BC2BB3">
        <w:rPr>
          <w:rFonts w:cstheme="minorHAnsi"/>
        </w:rPr>
        <w:t xml:space="preserve"> pubblicata in data successiva al 6 novembre 2020</w:t>
      </w:r>
      <w:r>
        <w:rPr>
          <w:rFonts w:cstheme="minorHAnsi"/>
        </w:rPr>
        <w:t xml:space="preserve">; </w:t>
      </w:r>
    </w:p>
    <w:p w:rsidR="008B509C" w:rsidRPr="00726480" w:rsidRDefault="00726CF0" w:rsidP="00726480">
      <w:pPr>
        <w:jc w:val="both"/>
        <w:rPr>
          <w:rFonts w:cstheme="minorHAnsi"/>
        </w:rPr>
      </w:pPr>
      <w:r>
        <w:rPr>
          <w:rFonts w:cstheme="minorHAnsi"/>
        </w:rPr>
        <w:t>Sentito il DS, dopo ampia discussione</w:t>
      </w:r>
    </w:p>
    <w:p w:rsidR="008B509C" w:rsidRPr="00F55CD8" w:rsidRDefault="00BA33CA" w:rsidP="0097069D">
      <w:pPr>
        <w:ind w:left="426"/>
        <w:jc w:val="center"/>
        <w:rPr>
          <w:rFonts w:eastAsia="Calibri" w:cstheme="minorHAnsi"/>
        </w:rPr>
      </w:pPr>
      <w:r w:rsidRPr="00F55CD8">
        <w:rPr>
          <w:rFonts w:eastAsia="Calibri" w:cstheme="minorHAnsi"/>
        </w:rPr>
        <w:t>DELIBERA</w:t>
      </w:r>
    </w:p>
    <w:p w:rsidR="00537627" w:rsidRPr="0097069D" w:rsidRDefault="00F55CD8" w:rsidP="00074070">
      <w:pPr>
        <w:jc w:val="both"/>
      </w:pPr>
      <w:r>
        <w:rPr>
          <w:rFonts w:eastAsia="Calibri" w:cstheme="minorHAnsi"/>
        </w:rPr>
        <w:t xml:space="preserve">All’unanimità, </w:t>
      </w:r>
      <w:r w:rsidR="00BC2BB3">
        <w:rPr>
          <w:rFonts w:eastAsia="Calibri" w:cstheme="minorHAnsi"/>
        </w:rPr>
        <w:t xml:space="preserve">di adottare </w:t>
      </w:r>
      <w:r w:rsidR="0097069D">
        <w:rPr>
          <w:rFonts w:eastAsia="Calibri" w:cstheme="minorHAnsi"/>
        </w:rPr>
        <w:t>le unità di insegnamento di 50 minuti</w:t>
      </w:r>
      <w:r w:rsidR="0097069D" w:rsidRPr="0097069D">
        <w:t xml:space="preserve"> </w:t>
      </w:r>
      <w:r w:rsidR="0097069D">
        <w:t xml:space="preserve">che </w:t>
      </w:r>
      <w:r w:rsidR="0097069D">
        <w:t>comporta il recupero di un’ora ogni 6 ore di insegnamento del docente, che potrà essere svolta: IN MODALITA’ SINCRONA con - interrogazioni a gruppi di studenti o a tutta la classe - interventi di recupero/potenziamento a gruppi di studenti o all’intera classe - correzione di verifiche o compiti con gruppi di studenti o con l’intera class</w:t>
      </w:r>
      <w:r w:rsidR="0097069D">
        <w:t xml:space="preserve">e. </w:t>
      </w:r>
      <w:r w:rsidR="0097069D">
        <w:t xml:space="preserve"> IN MODALITA’ ASINCRONA con: - videolezioni registrate - invio di materiali didattici o assegnazione di compiti c</w:t>
      </w:r>
      <w:r w:rsidR="0097069D">
        <w:t xml:space="preserve">on restituzione degli elaborati. </w:t>
      </w:r>
      <w:r w:rsidR="0097069D">
        <w:t>Per il computo delle ore in modalità asincrona si considererà la durata della video lezione registrata e, in generale, il tempo di fruizione del materiale didattico e di elaborazione del compito da parte degli studenti. La registrazione delle ore di recupero avverrà tramite il registro elettronico, nella sezione Agenda, dove il docente annoterà: tipo di attività, argomento, durata e - in caso di attività per gruppi - i nominativi degli studenti nell’area visibile solo ai docenti.</w:t>
      </w:r>
    </w:p>
    <w:p w:rsidR="00EE3511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97069D" w:rsidRPr="00EE3511" w:rsidRDefault="0097069D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97069D" w:rsidRDefault="0097069D" w:rsidP="00743EEF">
      <w:pPr>
        <w:jc w:val="both"/>
        <w:rPr>
          <w:rFonts w:cstheme="minorHAnsi"/>
        </w:rPr>
      </w:pPr>
    </w:p>
    <w:p w:rsidR="0097069D" w:rsidRDefault="0097069D" w:rsidP="00743EEF">
      <w:pPr>
        <w:jc w:val="both"/>
        <w:rPr>
          <w:rFonts w:cstheme="minorHAnsi"/>
        </w:rPr>
      </w:pPr>
      <w:r>
        <w:rPr>
          <w:rFonts w:cstheme="minorHAnsi"/>
        </w:rPr>
        <w:t>Modena________________</w:t>
      </w:r>
      <w:bookmarkStart w:id="0" w:name="_GoBack"/>
      <w:bookmarkEnd w:id="0"/>
    </w:p>
    <w:sectPr w:rsidR="0097069D" w:rsidSect="0097069D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 (Corpo tema asiatico)">
    <w:altName w:val="MS Gothic"/>
    <w:panose1 w:val="00000000000000000000"/>
    <w:charset w:val="8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93D0F"/>
    <w:multiLevelType w:val="hybridMultilevel"/>
    <w:tmpl w:val="311A190A"/>
    <w:lvl w:ilvl="0" w:tplc="2DD836AE">
      <w:start w:val="5"/>
      <w:numFmt w:val="bullet"/>
      <w:lvlText w:val="-"/>
      <w:lvlJc w:val="left"/>
      <w:pPr>
        <w:ind w:left="720" w:hanging="360"/>
      </w:pPr>
      <w:rPr>
        <w:rFonts w:ascii="ＭＳ 明朝 (Corpo tema asiatico)" w:eastAsia="ＭＳ 明朝 (Corpo tema asiatico)" w:hAnsiTheme="minorHAnsi" w:cs="TimesNewRomanPS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2671A"/>
    <w:rsid w:val="00036FE9"/>
    <w:rsid w:val="00043F87"/>
    <w:rsid w:val="00074070"/>
    <w:rsid w:val="000A4A0D"/>
    <w:rsid w:val="000C18EE"/>
    <w:rsid w:val="000C79C6"/>
    <w:rsid w:val="000E209C"/>
    <w:rsid w:val="000F3FA7"/>
    <w:rsid w:val="00105BDF"/>
    <w:rsid w:val="00114721"/>
    <w:rsid w:val="00136E90"/>
    <w:rsid w:val="00160094"/>
    <w:rsid w:val="00160B31"/>
    <w:rsid w:val="00163BFE"/>
    <w:rsid w:val="00176AD2"/>
    <w:rsid w:val="001904E7"/>
    <w:rsid w:val="00191348"/>
    <w:rsid w:val="00192707"/>
    <w:rsid w:val="001A431C"/>
    <w:rsid w:val="001B26D4"/>
    <w:rsid w:val="001D1740"/>
    <w:rsid w:val="001E1C60"/>
    <w:rsid w:val="001F5217"/>
    <w:rsid w:val="002014B5"/>
    <w:rsid w:val="00207947"/>
    <w:rsid w:val="00213CE4"/>
    <w:rsid w:val="00244D8F"/>
    <w:rsid w:val="0025516F"/>
    <w:rsid w:val="0026109C"/>
    <w:rsid w:val="002964DB"/>
    <w:rsid w:val="002F25C1"/>
    <w:rsid w:val="00301B4D"/>
    <w:rsid w:val="00332D82"/>
    <w:rsid w:val="00334636"/>
    <w:rsid w:val="0033499E"/>
    <w:rsid w:val="00336485"/>
    <w:rsid w:val="003818F1"/>
    <w:rsid w:val="00386128"/>
    <w:rsid w:val="003A7C97"/>
    <w:rsid w:val="003B2503"/>
    <w:rsid w:val="003C450C"/>
    <w:rsid w:val="003C72F3"/>
    <w:rsid w:val="003E2370"/>
    <w:rsid w:val="003E5D22"/>
    <w:rsid w:val="00407F10"/>
    <w:rsid w:val="0042723B"/>
    <w:rsid w:val="0043161D"/>
    <w:rsid w:val="00435C0C"/>
    <w:rsid w:val="004519E0"/>
    <w:rsid w:val="00463682"/>
    <w:rsid w:val="0048428B"/>
    <w:rsid w:val="004A6623"/>
    <w:rsid w:val="004D625C"/>
    <w:rsid w:val="004E18AB"/>
    <w:rsid w:val="004F01B7"/>
    <w:rsid w:val="004F2553"/>
    <w:rsid w:val="00521562"/>
    <w:rsid w:val="0052763C"/>
    <w:rsid w:val="005375F7"/>
    <w:rsid w:val="00537627"/>
    <w:rsid w:val="00537862"/>
    <w:rsid w:val="0054776B"/>
    <w:rsid w:val="00565464"/>
    <w:rsid w:val="00577E2B"/>
    <w:rsid w:val="00581597"/>
    <w:rsid w:val="0058248F"/>
    <w:rsid w:val="0059246A"/>
    <w:rsid w:val="005D23D2"/>
    <w:rsid w:val="005D501C"/>
    <w:rsid w:val="005F1FB5"/>
    <w:rsid w:val="00601907"/>
    <w:rsid w:val="00612320"/>
    <w:rsid w:val="006674EB"/>
    <w:rsid w:val="006733AD"/>
    <w:rsid w:val="00674933"/>
    <w:rsid w:val="006770C0"/>
    <w:rsid w:val="00687FCF"/>
    <w:rsid w:val="006C7DCB"/>
    <w:rsid w:val="006D5F8C"/>
    <w:rsid w:val="00713B02"/>
    <w:rsid w:val="00722BEA"/>
    <w:rsid w:val="00726480"/>
    <w:rsid w:val="00726CF0"/>
    <w:rsid w:val="00743586"/>
    <w:rsid w:val="00743EEF"/>
    <w:rsid w:val="00765FE2"/>
    <w:rsid w:val="007729CC"/>
    <w:rsid w:val="00790AE7"/>
    <w:rsid w:val="007960B2"/>
    <w:rsid w:val="0079787A"/>
    <w:rsid w:val="007A5AA3"/>
    <w:rsid w:val="007B128E"/>
    <w:rsid w:val="007C01EA"/>
    <w:rsid w:val="007F1401"/>
    <w:rsid w:val="00805C88"/>
    <w:rsid w:val="00810E9C"/>
    <w:rsid w:val="00813419"/>
    <w:rsid w:val="00816EF8"/>
    <w:rsid w:val="008611A4"/>
    <w:rsid w:val="008758B8"/>
    <w:rsid w:val="008B509C"/>
    <w:rsid w:val="008B6530"/>
    <w:rsid w:val="00912F7E"/>
    <w:rsid w:val="009576C2"/>
    <w:rsid w:val="009665BD"/>
    <w:rsid w:val="0097069D"/>
    <w:rsid w:val="009734C7"/>
    <w:rsid w:val="009A5AEC"/>
    <w:rsid w:val="009D2393"/>
    <w:rsid w:val="009E58CF"/>
    <w:rsid w:val="009F3ACF"/>
    <w:rsid w:val="00A3582C"/>
    <w:rsid w:val="00A424A4"/>
    <w:rsid w:val="00A56AD6"/>
    <w:rsid w:val="00A56DB7"/>
    <w:rsid w:val="00A92764"/>
    <w:rsid w:val="00A97D83"/>
    <w:rsid w:val="00AA6ADD"/>
    <w:rsid w:val="00AC0488"/>
    <w:rsid w:val="00AC17E4"/>
    <w:rsid w:val="00AE6DC2"/>
    <w:rsid w:val="00AE7002"/>
    <w:rsid w:val="00B00B39"/>
    <w:rsid w:val="00B05BAF"/>
    <w:rsid w:val="00B121D6"/>
    <w:rsid w:val="00B15D14"/>
    <w:rsid w:val="00B214A3"/>
    <w:rsid w:val="00B323D6"/>
    <w:rsid w:val="00B34019"/>
    <w:rsid w:val="00B572F5"/>
    <w:rsid w:val="00B74771"/>
    <w:rsid w:val="00B75FCA"/>
    <w:rsid w:val="00B774CB"/>
    <w:rsid w:val="00BA33CA"/>
    <w:rsid w:val="00BA542B"/>
    <w:rsid w:val="00BB08F0"/>
    <w:rsid w:val="00BC2BB3"/>
    <w:rsid w:val="00BF57F4"/>
    <w:rsid w:val="00C06980"/>
    <w:rsid w:val="00C166B2"/>
    <w:rsid w:val="00C17FB1"/>
    <w:rsid w:val="00C30AC7"/>
    <w:rsid w:val="00C719F0"/>
    <w:rsid w:val="00C73B06"/>
    <w:rsid w:val="00CB60C3"/>
    <w:rsid w:val="00CD61F9"/>
    <w:rsid w:val="00CF752F"/>
    <w:rsid w:val="00D0399A"/>
    <w:rsid w:val="00D1193A"/>
    <w:rsid w:val="00D16C82"/>
    <w:rsid w:val="00D2083B"/>
    <w:rsid w:val="00D2117F"/>
    <w:rsid w:val="00D45840"/>
    <w:rsid w:val="00D54E91"/>
    <w:rsid w:val="00D55B6C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95D1C"/>
    <w:rsid w:val="00ED71E4"/>
    <w:rsid w:val="00EE23EE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E3C"/>
    <w:rsid w:val="00FC4FDF"/>
    <w:rsid w:val="00FC6070"/>
    <w:rsid w:val="00FD3D5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703B-658A-41B0-BA53-D47CE6F2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3</cp:revision>
  <dcterms:created xsi:type="dcterms:W3CDTF">2020-11-25T11:27:00Z</dcterms:created>
  <dcterms:modified xsi:type="dcterms:W3CDTF">2020-11-25T12:12:00Z</dcterms:modified>
</cp:coreProperties>
</file>